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A296C" w14:textId="77777777" w:rsidR="00027C64" w:rsidRDefault="00000000">
      <w:pPr>
        <w:pStyle w:val="Heading1"/>
        <w:spacing w:before="240" w:after="120"/>
      </w:pPr>
      <w:r>
        <w:rPr>
          <w:b/>
          <w:bCs/>
          <w:color w:val="021C42"/>
        </w:rPr>
        <w:t>Nearly half of major Slovenian websites have no published accessibility statement, new survey finds</w:t>
      </w:r>
    </w:p>
    <w:p w14:paraId="7B63E621" w14:textId="3DB4E26B" w:rsidR="00027C64" w:rsidRDefault="00000000">
      <w:pPr>
        <w:spacing w:after="120" w:line="300" w:lineRule="auto"/>
      </w:pPr>
      <w:r>
        <w:rPr>
          <w:i/>
          <w:iCs/>
          <w:color w:val="6B7280"/>
        </w:rPr>
        <w:t>21 May 2026. Global Accessibility Awareness Day.</w:t>
      </w:r>
    </w:p>
    <w:p w14:paraId="42806E48" w14:textId="77777777" w:rsidR="00027C64" w:rsidRDefault="00000000">
      <w:pPr>
        <w:spacing w:after="120" w:line="300" w:lineRule="auto"/>
      </w:pPr>
      <w:r>
        <w:t xml:space="preserve">A new survey of eighty of Slovenia's most-visited websites, published today to mark Global Accessibility Awareness Day, finds that 45% carry no accessibility statement at all. Another 13% publish something too thin to qualify as the Article 13 declaration the law requires. Only 34% reach the threshold of a real declaration, the kind that names the relevant Slovenian transposition act, identifies a conformance standard such as EN 301 549, and provides a usable feedback channel. The findings are set out in full in the accompanying report, </w:t>
      </w:r>
      <w:hyperlink r:id="rId7" w:history="1">
        <w:r>
          <w:rPr>
            <w:color w:val="1D4ED8"/>
            <w:u w:val="single"/>
          </w:rPr>
          <w:t>*State of Digital Accessibility in Slovenia, May 2026*</w:t>
        </w:r>
      </w:hyperlink>
      <w:r>
        <w:t>.</w:t>
      </w:r>
    </w:p>
    <w:p w14:paraId="5413A861" w14:textId="77777777" w:rsidR="00027C64" w:rsidRDefault="00000000">
      <w:pPr>
        <w:spacing w:after="120" w:line="300" w:lineRule="auto"/>
      </w:pPr>
      <w:r>
        <w:t>The survey covered ten sites in each of eight consumer-facing sectors. It comes nearly a year into Slovenia's enforcement window under the European Accessibility Act, which became applicable across the EU on 28 June 2025 and is transposed into Slovenian law through ZDPSI, in force since April 2023. Public-sector sites have been subject to the older ZDSMA since 2018.</w:t>
      </w:r>
    </w:p>
    <w:p w14:paraId="112F847B" w14:textId="77777777" w:rsidR="00027C64" w:rsidRDefault="00000000">
      <w:pPr>
        <w:pStyle w:val="Heading2"/>
        <w:spacing w:before="240" w:after="120"/>
      </w:pPr>
      <w:r>
        <w:rPr>
          <w:b/>
          <w:bCs/>
          <w:color w:val="021C42"/>
        </w:rPr>
        <w:t>Public sector leads, retail trails</w:t>
      </w:r>
    </w:p>
    <w:p w14:paraId="66FA2418" w14:textId="77777777" w:rsidR="00027C64" w:rsidRDefault="00000000">
      <w:pPr>
        <w:spacing w:after="120" w:line="300" w:lineRule="auto"/>
      </w:pPr>
      <w:r>
        <w:t xml:space="preserve">The sector picture matches the pattern visible in equivalent surveys across the EU. Public-sector sites scored </w:t>
      </w:r>
      <w:proofErr w:type="gramStart"/>
      <w:r>
        <w:t>highest,</w:t>
      </w:r>
      <w:proofErr w:type="gramEnd"/>
      <w:r>
        <w:t xml:space="preserve"> on a mean of 10.8 out of 16 structural and statement checks, followed by utilities at 10.0 and banking at 9.8. Retail and online commerce sat at the bottom of the list with a mean of 6.3, and ecommerce was the only sector where zero of the ten sampled sites carried a real Article 13 declaration. The order is consistent with the directives' age: public-sector sites have been under the Web Accessibility Directive since 2018, while ecommerce only came into scope under the European Accessibility Act in June 2025.</w:t>
      </w:r>
    </w:p>
    <w:p w14:paraId="25479C84" w14:textId="77777777" w:rsidR="00027C64" w:rsidRDefault="00000000">
      <w:pPr>
        <w:pStyle w:val="Heading2"/>
        <w:spacing w:before="240" w:after="120"/>
      </w:pPr>
      <w:r>
        <w:rPr>
          <w:b/>
          <w:bCs/>
          <w:color w:val="021C42"/>
        </w:rPr>
        <w:t>The cheapest fix is also the most missed</w:t>
      </w:r>
    </w:p>
    <w:p w14:paraId="474C27BA" w14:textId="77777777" w:rsidR="00027C64" w:rsidRDefault="00000000">
      <w:pPr>
        <w:spacing w:after="120" w:line="300" w:lineRule="auto"/>
      </w:pPr>
      <w:r>
        <w:t>Of the structural checks run on each home page, the simplest accessibility provision in the WCAG standard, a "skip to main content" link at the top of the page, was present on only 22 of 80 sites. That works out to roughly one in four. Skip links are one anchor and two lines of CSS. They sit at level A in the WCAG hierarchy, the lowest bar in the standard. Three quarters of major Slovenian sites have skipped them.</w:t>
      </w:r>
    </w:p>
    <w:p w14:paraId="4F9CF81D" w14:textId="77777777" w:rsidR="00027C64" w:rsidRDefault="00000000">
      <w:pPr>
        <w:pStyle w:val="Heading2"/>
        <w:spacing w:before="240" w:after="120"/>
      </w:pPr>
      <w:r>
        <w:rPr>
          <w:b/>
          <w:bCs/>
          <w:color w:val="021C42"/>
        </w:rPr>
        <w:t>Overlay widgets remain in use</w:t>
      </w:r>
    </w:p>
    <w:p w14:paraId="53E75FCE" w14:textId="77777777" w:rsidR="00027C64" w:rsidRDefault="00000000">
      <w:pPr>
        <w:spacing w:after="120" w:line="300" w:lineRule="auto"/>
      </w:pPr>
      <w:r>
        <w:t>Seven sites in the sample have an accessibility-overlay widget installed. These tools, sold by a handful of US-based vendors, inject a JavaScript bar that promises one-click accessibility through font-resize and contrast toggles. The disability community has documented their shortcomings repeatedly, and EU regulators have issued multiple statements warning that an overlay does not substitute for compliance with the underlying technical standard EN 301 549. Five of the seven overlay-running sites in the survey sit in a single sector.</w:t>
      </w:r>
    </w:p>
    <w:p w14:paraId="6E53318F" w14:textId="77777777" w:rsidR="00027C64" w:rsidRDefault="00000000">
      <w:pPr>
        <w:pStyle w:val="Heading2"/>
        <w:spacing w:before="240" w:after="120"/>
      </w:pPr>
      <w:r>
        <w:rPr>
          <w:b/>
          <w:bCs/>
          <w:color w:val="021C42"/>
        </w:rPr>
        <w:t>What the home page tells the visitor</w:t>
      </w:r>
    </w:p>
    <w:p w14:paraId="08A11EFB" w14:textId="77777777" w:rsidR="00027C64" w:rsidRDefault="00000000">
      <w:pPr>
        <w:spacing w:after="120" w:line="300" w:lineRule="auto"/>
      </w:pPr>
      <w:r>
        <w:t>Only two sites out of eighty mention any legal framework on the home page itself, whether ZDSMA, ZDPSI, the EAA, WCAG, or EN 301 549. For 97% of the sample, a visitor curious about a site's accessibility status would have to find a footer link first, and on 45% of sites that footer link doesn't exist either.</w:t>
      </w:r>
    </w:p>
    <w:p w14:paraId="282E498B" w14:textId="77777777" w:rsidR="00027C64" w:rsidRDefault="00000000">
      <w:pPr>
        <w:pStyle w:val="Heading2"/>
        <w:spacing w:before="240" w:after="120"/>
      </w:pPr>
      <w:r>
        <w:rPr>
          <w:b/>
          <w:bCs/>
          <w:color w:val="021C42"/>
        </w:rPr>
        <w:lastRenderedPageBreak/>
        <w:t>What the survey did not measure</w:t>
      </w:r>
    </w:p>
    <w:p w14:paraId="12C8227B" w14:textId="77777777" w:rsidR="00027C64" w:rsidRDefault="00000000">
      <w:pPr>
        <w:spacing w:after="120" w:line="300" w:lineRule="auto"/>
      </w:pPr>
      <w:r>
        <w:t>The scan in question is HTTP-only. It does not measure colour-contrast violations, missing accessible names on buttons and links, or any other condition that requires a rendered page to evaluate. Those checks need a full browser-based audit using a tool such as axe-core, which the survey authors say will follow as a second pass. The headline structural and statement findings, however, are reliable on what they cover.</w:t>
      </w:r>
    </w:p>
    <w:p w14:paraId="22DF7904" w14:textId="77777777" w:rsidR="00027C64" w:rsidRDefault="00000000">
      <w:pPr>
        <w:spacing w:after="120" w:line="300" w:lineRule="auto"/>
      </w:pPr>
      <w:r>
        <w:t xml:space="preserve">The survey was conducted by the team at </w:t>
      </w:r>
      <w:hyperlink r:id="rId8" w:history="1">
        <w:r>
          <w:rPr>
            <w:color w:val="1D4ED8"/>
            <w:u w:val="single"/>
          </w:rPr>
          <w:t>accessibilityref.eu</w:t>
        </w:r>
      </w:hyperlink>
      <w:r>
        <w:t xml:space="preserve">. The underlying dataset is being published in aggregate, sector by sector, without naming individual sites. The full report, </w:t>
      </w:r>
      <w:r>
        <w:rPr>
          <w:i/>
          <w:iCs/>
        </w:rPr>
        <w:t>State of Digital Accessibility in Slovenia, May 2026</w:t>
      </w:r>
      <w:r>
        <w:t xml:space="preserve">, is available at </w:t>
      </w:r>
      <w:hyperlink r:id="rId9" w:history="1">
        <w:r>
          <w:rPr>
            <w:color w:val="1D4ED8"/>
            <w:u w:val="single"/>
          </w:rPr>
          <w:t>accessibilityref.eu/research/slovenia-eaa-2026-05</w:t>
        </w:r>
      </w:hyperlink>
      <w:r>
        <w:t>.</w:t>
      </w:r>
    </w:p>
    <w:p w14:paraId="723247FF" w14:textId="77777777" w:rsidR="00027C64" w:rsidRDefault="00027C64">
      <w:pPr>
        <w:pBdr>
          <w:bottom w:val="single" w:sz="6" w:space="0" w:color="D1D5DB"/>
        </w:pBdr>
        <w:spacing w:before="120" w:after="240"/>
      </w:pPr>
    </w:p>
    <w:p w14:paraId="0E00EEA9" w14:textId="77777777" w:rsidR="00027C64" w:rsidRDefault="00000000">
      <w:pPr>
        <w:spacing w:after="120" w:line="300" w:lineRule="auto"/>
      </w:pPr>
      <w:r>
        <w:rPr>
          <w:i/>
          <w:iCs/>
          <w:color w:val="6B7280"/>
        </w:rPr>
        <w:t>GAAD (Global Accessibility Awareness Day) is observed annually on the third Thursday of May. It exists to get everyone talking, thinking and learning about digital access and inclusion for people with disabilities.</w:t>
      </w:r>
    </w:p>
    <w:sectPr w:rsidR="00027C64">
      <w:footerReference w:type="default" r:id="rId10"/>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DDB9" w14:textId="77777777" w:rsidR="005372BB" w:rsidRDefault="005372BB">
      <w:r>
        <w:separator/>
      </w:r>
    </w:p>
  </w:endnote>
  <w:endnote w:type="continuationSeparator" w:id="0">
    <w:p w14:paraId="01F1D4C1" w14:textId="77777777" w:rsidR="005372BB" w:rsidRDefault="0053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EBEC" w14:textId="77777777" w:rsidR="00027C64" w:rsidRDefault="00000000">
    <w:pPr>
      <w:jc w:val="center"/>
    </w:pPr>
    <w:r>
      <w:rPr>
        <w:color w:val="6B7280"/>
        <w:sz w:val="18"/>
        <w:szCs w:val="18"/>
      </w:rPr>
      <w:t xml:space="preserve">Slovenia GAAD 2026 · accessibilityref.eu   ·   Page </w:t>
    </w:r>
    <w:r>
      <w:rPr>
        <w:color w:val="6B7280"/>
        <w:sz w:val="18"/>
        <w:szCs w:val="18"/>
      </w:rPr>
      <w:fldChar w:fldCharType="begin"/>
    </w:r>
    <w:r>
      <w:rPr>
        <w:color w:val="6B7280"/>
        <w:sz w:val="18"/>
        <w:szCs w:val="18"/>
      </w:rPr>
      <w:instrText>PAGE</w:instrText>
    </w:r>
    <w:r>
      <w:rPr>
        <w:color w:val="6B7280"/>
        <w:sz w:val="18"/>
        <w:szCs w:val="18"/>
      </w:rPr>
      <w:fldChar w:fldCharType="separate"/>
    </w:r>
    <w:r w:rsidR="006D4513">
      <w:rPr>
        <w:noProof/>
        <w:color w:val="6B7280"/>
        <w:sz w:val="18"/>
        <w:szCs w:val="18"/>
      </w:rPr>
      <w:t>1</w:t>
    </w:r>
    <w:r>
      <w:rPr>
        <w:color w:val="6B7280"/>
        <w:sz w:val="18"/>
        <w:szCs w:val="18"/>
      </w:rPr>
      <w:fldChar w:fldCharType="end"/>
    </w:r>
    <w:r>
      <w:rPr>
        <w:color w:val="6B7280"/>
        <w:sz w:val="18"/>
        <w:szCs w:val="18"/>
      </w:rPr>
      <w:t xml:space="preserve"> of </w:t>
    </w:r>
    <w:r>
      <w:rPr>
        <w:color w:val="6B7280"/>
        <w:sz w:val="18"/>
        <w:szCs w:val="18"/>
      </w:rPr>
      <w:fldChar w:fldCharType="begin"/>
    </w:r>
    <w:r>
      <w:rPr>
        <w:color w:val="6B7280"/>
        <w:sz w:val="18"/>
        <w:szCs w:val="18"/>
      </w:rPr>
      <w:instrText>NUMPAGES</w:instrText>
    </w:r>
    <w:r>
      <w:rPr>
        <w:color w:val="6B7280"/>
        <w:sz w:val="18"/>
        <w:szCs w:val="18"/>
      </w:rPr>
      <w:fldChar w:fldCharType="separate"/>
    </w:r>
    <w:r w:rsidR="006D4513">
      <w:rPr>
        <w:noProof/>
        <w:color w:val="6B7280"/>
        <w:sz w:val="18"/>
        <w:szCs w:val="18"/>
      </w:rPr>
      <w:t>2</w:t>
    </w:r>
    <w:r>
      <w:rPr>
        <w:color w:val="6B72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DA452" w14:textId="77777777" w:rsidR="005372BB" w:rsidRDefault="005372BB">
      <w:r>
        <w:separator/>
      </w:r>
    </w:p>
  </w:footnote>
  <w:footnote w:type="continuationSeparator" w:id="0">
    <w:p w14:paraId="114F9372" w14:textId="77777777" w:rsidR="005372BB" w:rsidRDefault="00537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50153"/>
    <w:multiLevelType w:val="hybridMultilevel"/>
    <w:tmpl w:val="69F2DE32"/>
    <w:lvl w:ilvl="0" w:tplc="C97AEBE6">
      <w:start w:val="1"/>
      <w:numFmt w:val="bullet"/>
      <w:lvlText w:val="●"/>
      <w:lvlJc w:val="left"/>
      <w:pPr>
        <w:ind w:left="720" w:hanging="360"/>
      </w:pPr>
    </w:lvl>
    <w:lvl w:ilvl="1" w:tplc="6A360B04">
      <w:start w:val="1"/>
      <w:numFmt w:val="bullet"/>
      <w:lvlText w:val="○"/>
      <w:lvlJc w:val="left"/>
      <w:pPr>
        <w:ind w:left="1440" w:hanging="360"/>
      </w:pPr>
    </w:lvl>
    <w:lvl w:ilvl="2" w:tplc="D708001C">
      <w:start w:val="1"/>
      <w:numFmt w:val="bullet"/>
      <w:lvlText w:val="■"/>
      <w:lvlJc w:val="left"/>
      <w:pPr>
        <w:ind w:left="2160" w:hanging="360"/>
      </w:pPr>
    </w:lvl>
    <w:lvl w:ilvl="3" w:tplc="7AC6819C">
      <w:start w:val="1"/>
      <w:numFmt w:val="bullet"/>
      <w:lvlText w:val="●"/>
      <w:lvlJc w:val="left"/>
      <w:pPr>
        <w:ind w:left="2880" w:hanging="360"/>
      </w:pPr>
    </w:lvl>
    <w:lvl w:ilvl="4" w:tplc="E3D4DC82">
      <w:start w:val="1"/>
      <w:numFmt w:val="bullet"/>
      <w:lvlText w:val="○"/>
      <w:lvlJc w:val="left"/>
      <w:pPr>
        <w:ind w:left="3600" w:hanging="360"/>
      </w:pPr>
    </w:lvl>
    <w:lvl w:ilvl="5" w:tplc="EB780D6A">
      <w:start w:val="1"/>
      <w:numFmt w:val="bullet"/>
      <w:lvlText w:val="■"/>
      <w:lvlJc w:val="left"/>
      <w:pPr>
        <w:ind w:left="4320" w:hanging="360"/>
      </w:pPr>
    </w:lvl>
    <w:lvl w:ilvl="6" w:tplc="16D65A4C">
      <w:start w:val="1"/>
      <w:numFmt w:val="bullet"/>
      <w:lvlText w:val="●"/>
      <w:lvlJc w:val="left"/>
      <w:pPr>
        <w:ind w:left="5040" w:hanging="360"/>
      </w:pPr>
    </w:lvl>
    <w:lvl w:ilvl="7" w:tplc="7A5EED74">
      <w:start w:val="1"/>
      <w:numFmt w:val="bullet"/>
      <w:lvlText w:val="●"/>
      <w:lvlJc w:val="left"/>
      <w:pPr>
        <w:ind w:left="5760" w:hanging="360"/>
      </w:pPr>
    </w:lvl>
    <w:lvl w:ilvl="8" w:tplc="1F7C50B0">
      <w:start w:val="1"/>
      <w:numFmt w:val="bullet"/>
      <w:lvlText w:val="●"/>
      <w:lvlJc w:val="left"/>
      <w:pPr>
        <w:ind w:left="6480" w:hanging="360"/>
      </w:pPr>
    </w:lvl>
  </w:abstractNum>
  <w:num w:numId="1" w16cid:durableId="9267684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C64"/>
    <w:rsid w:val="00027C64"/>
    <w:rsid w:val="005372BB"/>
    <w:rsid w:val="006D4513"/>
    <w:rsid w:val="00E04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0960"/>
  <w15:docId w15:val="{4DC8CB82-306A-4AE1-84EA-BCA4327E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ccessibilityref.eu" TargetMode="External"/><Relationship Id="rId3" Type="http://schemas.openxmlformats.org/officeDocument/2006/relationships/settings" Target="settings.xml"/><Relationship Id="rId7" Type="http://schemas.openxmlformats.org/officeDocument/2006/relationships/hyperlink" Target="https://www.accessibilityref.eu/research/slovenia-eaa-2026-0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ccessibilityref.eu/research/slovenia-eaa-202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Slovenia GAAD 2026 · accessibilityref.eu</dc:title>
  <dc:creator>accessibilityref.eu</dc:creator>
  <dc:description>Slovenia EAA accessibility audit, GAAD 2026 publication.</dc:description>
  <cp:lastModifiedBy>Dave Keogh</cp:lastModifiedBy>
  <cp:revision>2</cp:revision>
  <dcterms:created xsi:type="dcterms:W3CDTF">2026-05-20T11:14:00Z</dcterms:created>
  <dcterms:modified xsi:type="dcterms:W3CDTF">2026-05-20T13:09:00Z</dcterms:modified>
</cp:coreProperties>
</file>